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98 - GIUDEI (via dei) n. 2C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GIUDEI (via dei) n. 2C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10 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tra 4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Porta lampadina in ferro, sotto la targa.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Manca la luce.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1600 - 1700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GUIDICINI, II, 256: è segnalato al n. 4 (n.s. 2616) "lo stabile fra 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Strazzaroli e S. Gabrielle" fu sede dal 1631 (ca) di un collegio per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vedove e donzelle che non velevano maritarsi o monacarsi, retto dai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padri Teatini. Dal 1641 (ca) divenne sede di una congregazione laicale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detta dei Zamarini o Conviventi: "sette fratelli della sudetta congre-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gazione (di S. Gabriele) pigliarono la casa di detta congregazione in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affitto, e abbandonati i loro interessi vi si unirono per convivere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religiosamente, benché laici e senza voti, pagando dozzena ad imita-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zione dei preti dell'oratorio, visitando gli aspedali e le carceri,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assistendo infermi, praticando altre opere di carità, e vestendo un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abito nero a guisa di zimarra". La congregaziore da cui questi confra-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telli derivavano era quella detta di S. Gabriele, istituita nel 1616.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 ovest e a sud confinava con 1'Ospedale e i beni di S. Giobbe. Sopra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il suolo acquistato fu fatta la chiesa e l'oratorio di S. Gabriele.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 congregazione fu soppressa nel 1798.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(cf. scheda n. ).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CERVONE. Probabilmente contemporanea al Palazzo. '600-700, più verso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il 700.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