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82 - FONDAZZA (via) n. 12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FONDAZZA (via) n. 12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dipinta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tela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180 cm circa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curvilinea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battente in legno con luce rotonda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80 x 120 fin 15 di cornice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216. "In via Fondazza, n. 12, a capo del portico, in un gran frontale, si vede il volto della Vergine:...".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