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46 - CARTOLERIA (via) ang. via S. Stefano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46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CARTOLERIA (via) ang. via S. Stefano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guarda.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45x50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scad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2,30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apribile/avvitata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poco più della targa (3 cm per parte)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metallo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grigio (vernice)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lampadina accesa; 1 cuore d'argento; fiori finti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non c'è più (11/3/1994)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tabernacolo metallico affeso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a mensola (tipo tondo Liberty)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media borghese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1800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RAULE, p. 211. "In principio di via Cartoleria, al n. 2, è il più bello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fra i piccoli tabernacoli: tutto vi è completo e appropriato. Nella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nicchia quadrata, una Madonnina col Bambino, rilievo in terracotta.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L'incorniciatura, la grata, la lampada, la catena e il braccio por-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lampada, sono di maniera quattrocentesca. Un ex voto, appeso alla pa-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rete, porta la data del 21 agosto 1855".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