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41 - CAPRARIE (via) ang. via Drapperie</w:t>
      </w:r>
    </w:p>
    <w:p w:rsidR="00000000" w:rsidDel="00000000" w:rsidP="00000000" w:rsidRDefault="00000000" w:rsidRPr="00000000" w14:paraId="00000002">
      <w:pPr>
        <w:rPr/>
      </w:pPr>
      <w:r w:rsidDel="00000000" w:rsidR="00000000" w:rsidRPr="00000000">
        <w:rPr>
          <w:rtl w:val="0"/>
        </w:rPr>
        <w:t xml:space="preserve">Numero progressivo: 41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Daniela</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29/08/83; 8/09/83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CAPRARIE (via) ang. via Drapperie</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Annunciazione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targa con cornice a festoni (bassorilievo)</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rettangolare</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terracotta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 discreto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su spigolo tagliato di palazzo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lampada</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203. "Una piccola Annunciazione in terracotta, nel suo colore naturale, si trova all'angolo di via Caprarie con via Drapperie. Le due figure, modellate con grazia, sono inquadrate in un ornato di festoni, cartelle e testine alate di Cherubini. L'opera, del migliore periodo dei nostri plasticatori settecenteschi, è stata restaurata, e completa nell'ornato, da Arturo Orsoni nel 1927."</w:t>
      </w:r>
    </w:p>
    <w:p w:rsidR="00000000" w:rsidDel="00000000" w:rsidP="00000000" w:rsidRDefault="00000000" w:rsidRPr="00000000" w14:paraId="00000025">
      <w:pPr>
        <w:rPr/>
      </w:pPr>
      <w:r w:rsidDel="00000000" w:rsidR="00000000" w:rsidRPr="00000000">
        <w:rPr>
          <w:rtl w:val="0"/>
        </w:rPr>
        <w:t xml:space="preserve">CERVONE. 700 come cartiglio. L'interno deve essere stato restaurato e in maniera notevole.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