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37 - CALARI MONALDO (via) n. 10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37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TERZO OCCHIO PER LA CULTURA POPOLARE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CALARI MONALDO (via) n. 10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sdraiato a sinistra - 4 volti di angioletti intorno alla Madonna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cancello a 3-4 m.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40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2,20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 fianco sinistra, per chi guarda, della Chiesa della Grada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c'era una lampadina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212. Una di queste Madonne si trova sul fianco meridionale della chiesa di S. Maria della Grada.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