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6055u1ue1ip" w:id="0"/>
      <w:bookmarkEnd w:id="0"/>
      <w:r w:rsidDel="00000000" w:rsidR="00000000" w:rsidRPr="00000000">
        <w:rPr>
          <w:rtl w:val="0"/>
        </w:rPr>
        <w:t xml:space="preserve">276 - URBANA (via) - ang. via Tagliapietre</w:t>
      </w:r>
    </w:p>
    <w:p w:rsidR="00000000" w:rsidDel="00000000" w:rsidP="00000000" w:rsidRDefault="00000000" w:rsidRPr="00000000" w14:paraId="00000002">
      <w:pPr>
        <w:rPr/>
      </w:pPr>
      <w:r w:rsidDel="00000000" w:rsidR="00000000" w:rsidRPr="00000000">
        <w:rPr>
          <w:rtl w:val="0"/>
        </w:rPr>
        <w:t xml:space="preserve">Numero progressivo: 276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Operatore</w:t>
      </w:r>
      <w:r w:rsidDel="00000000" w:rsidR="00000000" w:rsidRPr="00000000">
        <w:rPr>
          <w:rtl w:val="0"/>
        </w:rPr>
        <w:t xml:space="preserve">: Giovanni</w:t>
      </w:r>
    </w:p>
    <w:p w:rsidR="00000000" w:rsidDel="00000000" w:rsidP="00000000" w:rsidRDefault="00000000" w:rsidRPr="00000000" w14:paraId="00000005">
      <w:pPr>
        <w:rPr/>
      </w:pPr>
      <w:r w:rsidDel="00000000" w:rsidR="00000000" w:rsidRPr="00000000">
        <w:rPr>
          <w:b w:val="1"/>
          <w:rtl w:val="0"/>
        </w:rPr>
        <w:t xml:space="preserve">Data</w:t>
      </w:r>
      <w:r w:rsidDel="00000000" w:rsidR="00000000" w:rsidRPr="00000000">
        <w:rPr>
          <w:rtl w:val="0"/>
        </w:rPr>
        <w:t xml:space="preserve">: estate 1983</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Luogo</w:t>
      </w:r>
      <w:r w:rsidDel="00000000" w:rsidR="00000000" w:rsidRPr="00000000">
        <w:rPr>
          <w:rtl w:val="0"/>
        </w:rPr>
        <w:t xml:space="preserve">: URBANA (via) - ang. via Tagliapietre</w:t>
      </w:r>
    </w:p>
    <w:p w:rsidR="00000000" w:rsidDel="00000000" w:rsidP="00000000" w:rsidRDefault="00000000" w:rsidRPr="00000000" w14:paraId="00000008">
      <w:pPr>
        <w:rPr/>
      </w:pPr>
      <w:r w:rsidDel="00000000" w:rsidR="00000000" w:rsidRPr="00000000">
        <w:rPr>
          <w:b w:val="1"/>
          <w:rtl w:val="0"/>
        </w:rPr>
        <w:t xml:space="preserve">Soggetto</w:t>
      </w:r>
      <w:r w:rsidDel="00000000" w:rsidR="00000000" w:rsidRPr="00000000">
        <w:rPr>
          <w:rtl w:val="0"/>
        </w:rPr>
        <w:t xml:space="preserve">: Sant'Antonio di Padova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bullcl7t4cr9" w:id="1"/>
      <w:bookmarkEnd w:id="1"/>
      <w:r w:rsidDel="00000000" w:rsidR="00000000" w:rsidRPr="00000000">
        <w:rPr>
          <w:rtl w:val="0"/>
        </w:rPr>
        <w:t xml:space="preserve">Immagine</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Tipo</w:t>
      </w:r>
      <w:r w:rsidDel="00000000" w:rsidR="00000000" w:rsidRPr="00000000">
        <w:rPr>
          <w:rtl w:val="0"/>
        </w:rPr>
        <w:t xml:space="preserve">: statua a tutto tondo</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Forma</w:t>
      </w:r>
      <w:r w:rsidDel="00000000" w:rsidR="00000000" w:rsidRPr="00000000">
        <w:rPr>
          <w:rtl w:val="0"/>
        </w:rPr>
        <w:t xml:space="preserve">: </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Materiale</w:t>
      </w:r>
      <w:r w:rsidDel="00000000" w:rsidR="00000000" w:rsidRPr="00000000">
        <w:rPr>
          <w:rtl w:val="0"/>
        </w:rPr>
        <w:t xml:space="preserve">: arenaria</w:t>
      </w:r>
    </w:p>
    <w:p w:rsidR="00000000" w:rsidDel="00000000" w:rsidP="00000000" w:rsidRDefault="00000000" w:rsidRPr="00000000" w14:paraId="00000010">
      <w:pPr>
        <w:numPr>
          <w:ilvl w:val="0"/>
          <w:numId w:val="1"/>
        </w:numPr>
        <w:ind w:left="720" w:hanging="360"/>
        <w:rPr>
          <w:u w:val="none"/>
        </w:rPr>
      </w:pPr>
      <w:r w:rsidDel="00000000" w:rsidR="00000000" w:rsidRPr="00000000">
        <w:rPr>
          <w:b w:val="1"/>
          <w:rtl w:val="0"/>
        </w:rPr>
        <w:t xml:space="preserve">Colore</w:t>
      </w:r>
      <w:r w:rsidDel="00000000" w:rsidR="00000000" w:rsidRPr="00000000">
        <w:rPr>
          <w:rtl w:val="0"/>
        </w:rPr>
        <w:t xml:space="preserve">: monocromo</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Stato di conservazione</w:t>
      </w:r>
      <w:r w:rsidDel="00000000" w:rsidR="00000000" w:rsidRPr="00000000">
        <w:rPr>
          <w:rtl w:val="0"/>
        </w:rPr>
        <w:t xml:space="preserve">: buono</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rtl w:val="0"/>
        </w:rPr>
        <w:t xml:space="preserve">Altezza dal suolo</w:t>
      </w:r>
      <w:r w:rsidDel="00000000" w:rsidR="00000000" w:rsidRPr="00000000">
        <w:rPr>
          <w:rtl w:val="0"/>
        </w:rPr>
        <w:t xml:space="preserve">: </w:t>
      </w:r>
    </w:p>
    <w:p w:rsidR="00000000" w:rsidDel="00000000" w:rsidP="00000000" w:rsidRDefault="00000000" w:rsidRPr="00000000" w14:paraId="00000013">
      <w:pPr>
        <w:pStyle w:val="Heading2"/>
        <w:rPr/>
      </w:pPr>
      <w:bookmarkStart w:colFirst="0" w:colLast="0" w:name="_dh3v8cfb81z" w:id="2"/>
      <w:bookmarkEnd w:id="2"/>
      <w:r w:rsidDel="00000000" w:rsidR="00000000" w:rsidRPr="00000000">
        <w:rPr>
          <w:rtl w:val="0"/>
        </w:rPr>
        <w:t xml:space="preserve">Collocazione</w:t>
      </w:r>
    </w:p>
    <w:p w:rsidR="00000000" w:rsidDel="00000000" w:rsidP="00000000" w:rsidRDefault="00000000" w:rsidRPr="00000000" w14:paraId="00000014">
      <w:pPr>
        <w:numPr>
          <w:ilvl w:val="0"/>
          <w:numId w:val="2"/>
        </w:numPr>
        <w:ind w:left="720" w:hanging="360"/>
      </w:pPr>
      <w:r w:rsidDel="00000000" w:rsidR="00000000" w:rsidRPr="00000000">
        <w:rPr>
          <w:b w:val="1"/>
          <w:rtl w:val="0"/>
        </w:rPr>
        <w:t xml:space="preserve">Tipo</w:t>
      </w:r>
      <w:r w:rsidDel="00000000" w:rsidR="00000000" w:rsidRPr="00000000">
        <w:rPr>
          <w:rtl w:val="0"/>
        </w:rPr>
        <w:t xml:space="preserve">: nicchia - tabernacolo</w:t>
      </w:r>
    </w:p>
    <w:p w:rsidR="00000000" w:rsidDel="00000000" w:rsidP="00000000" w:rsidRDefault="00000000" w:rsidRPr="00000000" w14:paraId="00000015">
      <w:pPr>
        <w:numPr>
          <w:ilvl w:val="0"/>
          <w:numId w:val="2"/>
        </w:numPr>
        <w:ind w:left="720" w:hanging="360"/>
      </w:pPr>
      <w:r w:rsidDel="00000000" w:rsidR="00000000" w:rsidRPr="00000000">
        <w:rPr>
          <w:b w:val="1"/>
          <w:rtl w:val="0"/>
        </w:rPr>
        <w:t xml:space="preserve">Forma</w:t>
      </w:r>
      <w:r w:rsidDel="00000000" w:rsidR="00000000" w:rsidRPr="00000000">
        <w:rPr>
          <w:rtl w:val="0"/>
        </w:rPr>
        <w:t xml:space="preserve">: rettangolare con lato sup. curvo</w:t>
      </w:r>
    </w:p>
    <w:p w:rsidR="00000000" w:rsidDel="00000000" w:rsidP="00000000" w:rsidRDefault="00000000" w:rsidRPr="00000000" w14:paraId="00000016">
      <w:pPr>
        <w:numPr>
          <w:ilvl w:val="0"/>
          <w:numId w:val="2"/>
        </w:numPr>
        <w:ind w:left="720" w:hanging="360"/>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17">
      <w:pPr>
        <w:numPr>
          <w:ilvl w:val="0"/>
          <w:numId w:val="2"/>
        </w:numPr>
        <w:ind w:left="720" w:hanging="360"/>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18">
      <w:pPr>
        <w:numPr>
          <w:ilvl w:val="0"/>
          <w:numId w:val="2"/>
        </w:numPr>
        <w:ind w:left="720" w:hanging="360"/>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A">
      <w:pPr>
        <w:numPr>
          <w:ilvl w:val="0"/>
          <w:numId w:val="2"/>
        </w:numPr>
        <w:ind w:left="720" w:hanging="360"/>
      </w:pPr>
      <w:r w:rsidDel="00000000" w:rsidR="00000000" w:rsidRPr="00000000">
        <w:rPr>
          <w:b w:val="1"/>
          <w:rtl w:val="0"/>
        </w:rPr>
        <w:t xml:space="preserve">Stato di conservazione</w:t>
      </w:r>
      <w:r w:rsidDel="00000000" w:rsidR="00000000" w:rsidRPr="00000000">
        <w:rPr>
          <w:rtl w:val="0"/>
        </w:rPr>
        <w:t xml:space="preserve">: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Segni di devozione</w:t>
      </w:r>
      <w:r w:rsidDel="00000000" w:rsidR="00000000" w:rsidRPr="00000000">
        <w:rPr>
          <w:rtl w:val="0"/>
        </w:rPr>
        <w:t xml:space="preserve">: </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Motivazione</w:t>
      </w:r>
      <w:r w:rsidDel="00000000" w:rsidR="00000000" w:rsidRPr="00000000">
        <w:rPr>
          <w:rtl w:val="0"/>
        </w:rPr>
        <w:t xml:space="preserve">: </w:t>
      </w:r>
    </w:p>
    <w:p w:rsidR="00000000" w:rsidDel="00000000" w:rsidP="00000000" w:rsidRDefault="00000000" w:rsidRPr="00000000" w14:paraId="0000001F">
      <w:pPr>
        <w:ind w:left="0" w:firstLine="0"/>
        <w:rPr/>
      </w:pPr>
      <w:r w:rsidDel="00000000" w:rsidR="00000000" w:rsidRPr="00000000">
        <w:rPr>
          <w:b w:val="1"/>
          <w:rtl w:val="0"/>
        </w:rPr>
        <w:t xml:space="preserve">Tipo edificio</w:t>
      </w:r>
      <w:r w:rsidDel="00000000" w:rsidR="00000000" w:rsidRPr="00000000">
        <w:rPr>
          <w:rtl w:val="0"/>
        </w:rPr>
        <w:t xml:space="preserve">: </w:t>
      </w:r>
    </w:p>
    <w:p w:rsidR="00000000" w:rsidDel="00000000" w:rsidP="00000000" w:rsidRDefault="00000000" w:rsidRPr="00000000" w14:paraId="00000020">
      <w:pPr>
        <w:ind w:left="0" w:firstLine="0"/>
        <w:rPr/>
      </w:pPr>
      <w:r w:rsidDel="00000000" w:rsidR="00000000" w:rsidRPr="00000000">
        <w:rPr>
          <w:b w:val="1"/>
          <w:rtl w:val="0"/>
        </w:rPr>
        <w:t xml:space="preserve">Epoca dell’edificio</w:t>
      </w:r>
      <w:r w:rsidDel="00000000" w:rsidR="00000000" w:rsidRPr="00000000">
        <w:rPr>
          <w:rtl w:val="0"/>
        </w:rPr>
        <w:t xml:space="preserve">: </w:t>
      </w:r>
    </w:p>
    <w:p w:rsidR="00000000" w:rsidDel="00000000" w:rsidP="00000000" w:rsidRDefault="00000000" w:rsidRPr="00000000" w14:paraId="00000021">
      <w:pPr>
        <w:ind w:left="0" w:firstLine="0"/>
        <w:rPr/>
      </w:pPr>
      <w:r w:rsidDel="00000000" w:rsidR="00000000" w:rsidRPr="00000000">
        <w:rPr>
          <w:b w:val="1"/>
          <w:rtl w:val="0"/>
        </w:rPr>
        <w:t xml:space="preserve">Epigrafe</w:t>
      </w:r>
      <w:r w:rsidDel="00000000" w:rsidR="00000000" w:rsidRPr="00000000">
        <w:rPr>
          <w:rtl w:val="0"/>
        </w:rPr>
        <w:t xml:space="preserve">: LE SOVRASTANTI STATUE DEI SANTI BONAVENTURA E ANTONIO DELLO SCAMPO INTERCESSORI VOLLE PER GRATO ANIMO RESTAURATE ( LA ŚRA DEL 21 LUGLIO 14ARC. GIACOMO DELLA CHIESA IN FORTUNOSO SCONTRO DI VETTURA PER DIVINA BONTÀ RESTO INCOWME</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pStyle w:val="Heading2"/>
        <w:rPr/>
      </w:pPr>
      <w:bookmarkStart w:colFirst="0" w:colLast="0" w:name="_tzednuyc0ih9" w:id="3"/>
      <w:bookmarkEnd w:id="3"/>
      <w:r w:rsidDel="00000000" w:rsidR="00000000" w:rsidRPr="00000000">
        <w:rPr>
          <w:rtl w:val="0"/>
        </w:rPr>
        <w:t xml:space="preserve">Note</w:t>
      </w:r>
    </w:p>
    <w:p w:rsidR="00000000" w:rsidDel="00000000" w:rsidP="00000000" w:rsidRDefault="00000000" w:rsidRPr="00000000" w14:paraId="00000024">
      <w:pPr>
        <w:rPr/>
      </w:pPr>
      <w:r w:rsidDel="00000000" w:rsidR="00000000" w:rsidRPr="00000000">
        <w:rPr>
          <w:rtl w:val="0"/>
        </w:rPr>
        <w:t xml:space="preserve">RAULE, p. 196. Nel tabernacolo dell'angolo di Via Tagliapietre con via Urbana sono le statue di S. Bonaventura e S. Antonio da Padova, Santi francescani per un convento di Clarisse, Ordine francescano. Guido Zucchini fissa la data del 1582 per questo lavoro, mentre Corrado Ricci invece lo assegna al 1685. Nei caratteri stilistici dei tabernacoli, e nel modellato delle figure sono ormai i caratteri dell'arte barocca; per di più, questa seconda data coincide con il periodo, in cui furono eseguiti nella chiesa i lavori che mutarono interamente l'aspetto interno; proprio nel settembre del 1686 fu posta la prima pietra della nuova cappella della Santa. GUIDICINI, V, 158, 148: Chiesa e monastero di monache osservanti di Santa Chiara dette del Corpus Domini e della Santa. MENARINI-VIANELLI, Bologna per la strada 2º serie, p. 99. Queste statue assistettero la sera del 21 luglio 1913, all'incidente occorso all'Arcivescovo Giacomo della Chiesa (divenuto poi Benedetto XV), il quale, ritornando in carrozza dall'aver recitato i vespri solenni nella Chiesardella Gaibola, fu pericolosamente investito dal tram n. 32 senza tuttavia riportare ferite o lesioni. Il prelato, grato alla "divina bontà" che aveva voluto risparmiarlo, dispose che le due statue di Sant'Antonio e di San Bonaventura, che allora apparivano molto danneggiate, venissero resturate a sue spese, e che sotto di queste venisse posta memoria del fatto. BOSI, Rimembranze felsinee, vol. II, p. 131. GUIDA, pp. 213-14. I due gruppi di statue di cotto che adornano il caratteristico muro di cinta, negli angoli tra le vie Castelfidardo e Tagliapietre e le vie Tagliapietre e Urbana, sono del 1582.</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