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269 - TAGLIAPIETRE (via) - ang. via Urbana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TAGLIAPIETRE (via) - ang. via Urbana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Bonaventura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nello spigolo dell'edificio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LE SOVRASTANTI STATUE DEI SANTI BONAVENTURA E ANTONIO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DELLO SCAMPO INTERCESSORI VOLLE PER GRATO ANIMO RESTAURATE (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LA SERA DEL 21 LUGLIO L'ARC. GIACOMO DELLA CHIESA IN FORTUNOSO SCONTRO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DI VETTURA PER DIVINA BONTA RESTO INCOLUME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Cf. scheda 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GUIDA, pp. 213-14. I due gruppi di statue di cotto che adornano il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caratteristico muro di cinta, negli angoli tra le vie Castelfidar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do e Tagliapoetre e le vie Tagliapietre e Urbana, sono del 1582.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Ulteriori restauro: Staune Roma Bo.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