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254 - S. VITALE (via) n. 56</w:t>
      </w:r>
    </w:p>
    <w:p w:rsidR="00000000" w:rsidDel="00000000" w:rsidP="00000000" w:rsidRDefault="00000000" w:rsidRPr="00000000" w14:paraId="00000002">
      <w:pPr>
        <w:rPr/>
      </w:pPr>
      <w:r w:rsidDel="00000000" w:rsidR="00000000" w:rsidRPr="00000000">
        <w:rPr>
          <w:rtl w:val="0"/>
        </w:rPr>
        <w:t xml:space="preserve">Numero progressivo: 254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Daniela</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27/07/83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S. VITALE (via) n. 56</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Madonna con Bambino a destra di chi guarda (Madonna della Peste/Madonna del Velo)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targa con cornice multipla</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rettangolare</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terracotta</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monocromo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discreto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5 m</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nicchia nella facciata esterna</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rettangolare con lato sup. leggermente curvo</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dentro la nicchia sopra la targa: La fronte di questa / CASA FU RESTURATA / L'A. 1934-XII</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212. La Madonna che si trova nella facciata della Casa Gudi, in via S. Vitale, n. 56, è un calco della Madonna in terracotta, detta della peste, che si trova nella vicina Chiesa di S. Vitale. Si crede di Domenico de Paris, scultore padovano del sec. XV.</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GUIDICINI, V, 223: n.a. 45. "Dal n. 45 al n. 54 (numeri attuali 56-40) erano stabili delle monache dei SS. Vitale e Agricola… Dicesi che in questa situazione vi fosse nel 1378 la Chiesa dei Battuti di S. Giacomo Maggiore, quivi eretta nel 1370, poi traslocati in S. Donato nel 1469 (vedi st. S. Donato n. 2522). Si ha memoria che la detta compagnia desse un convitto nella sede(?) di St. Maggiore nella seconda o terza festa di Pasqua d’ogni anno ai pellegrini: cosa che poi andò in disuso, ma si continuò a far la processione".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CERVONE. Nel 1906è stata fatta un foto in cui manca il portico che c’è ora. La Madonna è quasi "barocca".</w:t>
      </w:r>
    </w:p>
    <w:p w:rsidR="00000000" w:rsidDel="00000000" w:rsidP="00000000" w:rsidRDefault="00000000" w:rsidRPr="00000000" w14:paraId="00000029">
      <w:pPr>
        <w:rPr/>
      </w:pPr>
      <w:r w:rsidDel="00000000" w:rsidR="00000000" w:rsidRPr="00000000">
        <w:rPr>
          <w:rtl w:val="0"/>
        </w:rPr>
        <w:t xml:space="preserve">Movimento: atteggiamento divergente delle due figure, mosso del panneggio, molto arioso. Il Bambino è scomposto. La cornice è molto incassata: desiderio di arieggiare. Casa dell’ing. Gnudi.</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Palazzi Scagliarini Rossi già Martinetti poi Collesolugarelli.</w:t>
      </w:r>
    </w:p>
    <w:p w:rsidR="00000000" w:rsidDel="00000000" w:rsidP="00000000" w:rsidRDefault="00000000" w:rsidRPr="00000000" w14:paraId="0000002C">
      <w:pPr>
        <w:rPr/>
      </w:pPr>
      <w:r w:rsidDel="00000000" w:rsidR="00000000" w:rsidRPr="00000000">
        <w:rPr>
          <w:rtl w:val="0"/>
        </w:rPr>
        <w:t xml:space="preserve">Sul sito "Storia e memoria di Bologna" alle voci Palazzi Scagliarini.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