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205 - RIALTO (via) n. 6</w:t>
      </w:r>
    </w:p>
    <w:p w:rsidR="00000000" w:rsidDel="00000000" w:rsidP="00000000" w:rsidRDefault="00000000" w:rsidRPr="00000000" w14:paraId="00000002">
      <w:pPr>
        <w:rPr/>
      </w:pPr>
      <w:r w:rsidDel="00000000" w:rsidR="00000000" w:rsidRPr="00000000">
        <w:rPr>
          <w:rtl w:val="0"/>
        </w:rPr>
        <w:t xml:space="preserve">Numero progressivo: 205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Giovanni</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estate 1983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RIALTO (via) n. 6</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Madonna allattante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sportello chiuso con lucchetto</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3,50 m</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tabernacolo su muro di una casa di fianco a una finestra</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rettangolare con frontone triangolare, colonnine e mensolina</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fiori finti</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lapide superiore: D.O.M. / MARMOREAM.HANC. VETEREM. DEI / GENITRICIS. ICONEM.IAM.DIV. MIRACULIS / CLARAM.VT.PRAETERUNTIUM.VENERATIONI.MAGIS / ILLUCESCERET.DIUTURNA.CONSTITUTA / LAMPADE. DECENTIUS.EXORNAVIT / ACHILLES. FABRIUS. AC.B. VIRGINEM. IN / PROTECTRICEM. DOMORUM ELEGIT. ANNO. 1585.</w:t>
      </w:r>
    </w:p>
    <w:p w:rsidR="00000000" w:rsidDel="00000000" w:rsidP="00000000" w:rsidRDefault="00000000" w:rsidRPr="00000000" w14:paraId="00000022">
      <w:pPr>
        <w:ind w:left="0" w:firstLine="0"/>
        <w:rPr/>
      </w:pPr>
      <w:r w:rsidDel="00000000" w:rsidR="00000000" w:rsidRPr="00000000">
        <w:rPr>
          <w:rtl w:val="0"/>
        </w:rPr>
        <w:t xml:space="preserve">Lapide inferiore: D.O.M. / EANDEM.IAM.TEMPORIS.DIUTURNITATE.OBSOLETAM / COMES.DOMINICUS.PALLAVICINIUS.UT.MAGIS / COLERETUR. SPLENDIDE.INSTAURAVIT. ANNO. DOM. / MDCCCXXXX / AC.ISTAM.INSCRITIONEM.ELUCUBRAVIT / LAURENTIUS. FERRETIUS.</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5">
      <w:pPr>
        <w:rPr/>
      </w:pPr>
      <w:r w:rsidDel="00000000" w:rsidR="00000000" w:rsidRPr="00000000">
        <w:rPr>
          <w:rtl w:val="0"/>
        </w:rPr>
        <w:t xml:space="preserve">GUIDICINI, II, 139: non vi si trovano citati né Fabbri, né Pallavicini.</w:t>
      </w:r>
    </w:p>
    <w:p w:rsidR="00000000" w:rsidDel="00000000" w:rsidP="00000000" w:rsidRDefault="00000000" w:rsidRPr="00000000" w14:paraId="00000026">
      <w:pPr>
        <w:rPr/>
      </w:pPr>
      <w:r w:rsidDel="00000000" w:rsidR="00000000" w:rsidRPr="00000000">
        <w:rPr>
          <w:rtl w:val="0"/>
        </w:rPr>
        <w:t xml:space="preserve">Confine con il n. 4 (n.a. 229), stabile dei Marsili Allegrini.</w:t>
      </w:r>
    </w:p>
    <w:p w:rsidR="00000000" w:rsidDel="00000000" w:rsidP="00000000" w:rsidRDefault="00000000" w:rsidRPr="00000000" w14:paraId="00000027">
      <w:pPr>
        <w:rPr/>
      </w:pPr>
      <w:r w:rsidDel="00000000" w:rsidR="00000000" w:rsidRPr="00000000">
        <w:rPr>
          <w:rtl w:val="0"/>
        </w:rPr>
        <w:t xml:space="preserve">RAULE, p. 216. Al n. 6 della stessa via è un tabernacolo ripristinato nel 1840, ha una lunga iscrizione, secondo la quale la prodigiosa immagine marmorea della Vergine fu collocata in quel luogo nel 1685 da Achille Fabbri, che intendeva di porla a protezione della sua casa.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