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189 - PRATELLO (via del) n. 21/2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189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25/07/83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PRATELLO (via del) n. 21/2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Beata Vergine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semicerchio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abbastanza rovinato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5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lunetta sopra un portone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mezzaluna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una volta c'era la lampadina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Pagina 2: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Operatore: Giovanni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Data: estate 1983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Luogo: PRATELLO (via del) n. 41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Soggetto: Crocefisso e Santi (Francesco e Rocco)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Immagine: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 tipo: affresco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- forma: rettangolare con cornice multipla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- protezione: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- dimensioni: 1,50 x 2,50 m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- materiale: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- colore: policromo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- stato di conservazione: molto scuro, annerito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- altezza dal suolo: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Collocazione: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- tipo: su un muro, sotto il portico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- forma: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- protezione: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- dimensioni: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- materiale: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- colore: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- stato di conservazione: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Motivazione: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Segni di devozione: fiori, un lumino di cera, (anche di più), una lampadina accesa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Tipo di edificio: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Epoca dell'edificio: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Epigrafe: PER QUEM SALVATI ET LIBERATI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