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195 - PRATELLO (via del) n. 81</w:t>
      </w:r>
    </w:p>
    <w:p w:rsidR="00000000" w:rsidDel="00000000" w:rsidP="00000000" w:rsidRDefault="00000000" w:rsidRPr="00000000" w14:paraId="00000002">
      <w:pPr>
        <w:rPr/>
      </w:pPr>
      <w:r w:rsidDel="00000000" w:rsidR="00000000" w:rsidRPr="00000000">
        <w:rPr>
          <w:rtl w:val="0"/>
        </w:rPr>
        <w:t xml:space="preserve">Numero progressivo: 195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PRATELLO (via del) n. 81</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a figura intera, con Bambino a sinistra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stampa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quadretto con vetro</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20 x 30 cm</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carta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mediocre</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2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sotto il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grata apribile</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40 x 50 cm</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fiori finti e lampadina accesa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targa sotto la nicchia: ALL'OCCASIONE CHE LI 16 AGOSTO 1808 FU CHIUSA LA CHIESA DI SANTA CRISTINA DI PIETRALATA LA SERA AVANTI FU TRASPORTATA LA B.V. DEL PIANTO IN QUESTA CASA OVE LE STETTE SINO LI,28 DI DETTO MESE ED IVI FU COLLO CATA NELLA PARROCCHIA DI S. ISAIA ED OGNI SERA VI SI RICITAVA IL SS.MO ROSARIO.</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