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193 - PRATELLO (via del) N. 87 - ang. via Pietralata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193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25/07/1983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PRATELLO (via del) N. 87 - ang. via Pietralata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piccola tettoia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5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sul muro della casa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presa elettrica per una lapadina, reggi candele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Benedizione della B.V. di San Luca il 20 maggio 1700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sotto la targa: NELL'ANNO SANTO LA BEATISSIMA VERGINE DI SAN LUCCA DIEDE LA SANTA BENEDIZIONE NEL MEZZO DI QUESTO CROSALE E QUESTO FU IL GIORNO DELLA GLORIOSA ASCENSIONE DEL DI LEI DIVIN FIGLIVOLO IL DI XX MAGG10 1700 - RESTAURATA NEL 1927.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