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151 - MONARI (via de') - ang. via Piatesi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151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27/07/83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MONARI (via de') - ang. via Piatesi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30 x 20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discreto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sullo spigolo tagliato di una casa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casa residenziale popolare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1700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Panneggio obliquo. Segue l'andamento della curva. La Madonna è un po' infagottata. Primi '800.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