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111 - IRNERIO (via) n. 29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24/07/84; 25/07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IRNERIO (via) n. 29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di chi guarda.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statuette in altorilievo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marmo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còn pilstrino in mattoni nello sporto del muro, sotto il portico.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a cuspide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lampioncino acceso; fiori; 1 ex-voto.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lastra in marmo con inciso: AVE MARIA / AD MCMLIV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218. Una bella statuetta in terracotta della Madonna con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il Bambino, dello scultore Enrico Manfrini, figura nella nicchia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di un nuovo tabernacolo, addossato alla base del campanile della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Chiesa della Mascarella in via Imerio, n. 19.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CERVONE. Tabernacolo. Centina ad angolo. Imitazione di un pilastrino.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